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3FF3EF" w14:textId="77777777" w:rsidR="00AC036F" w:rsidRPr="00C908EC" w:rsidRDefault="00AC036F" w:rsidP="00AC036F">
      <w:pPr>
        <w:spacing w:after="0" w:line="240" w:lineRule="auto"/>
        <w:rPr>
          <w:rFonts w:ascii="Arial" w:hAnsi="Arial" w:cs="Arial"/>
          <w:b/>
          <w:bCs/>
          <w:sz w:val="24"/>
          <w:szCs w:val="24"/>
        </w:rPr>
      </w:pPr>
      <w:r w:rsidRPr="00C908EC">
        <w:rPr>
          <w:rFonts w:ascii="Arial" w:hAnsi="Arial" w:cs="Arial"/>
          <w:b/>
          <w:bCs/>
          <w:sz w:val="24"/>
          <w:szCs w:val="24"/>
        </w:rPr>
        <w:t>Freedom of Information Compliance</w:t>
      </w:r>
    </w:p>
    <w:p w14:paraId="7D7DD975" w14:textId="77777777" w:rsidR="00AC036F" w:rsidRPr="00AC036F" w:rsidRDefault="00AC036F" w:rsidP="00AC036F">
      <w:pPr>
        <w:spacing w:after="0" w:line="240" w:lineRule="auto"/>
        <w:rPr>
          <w:rFonts w:ascii="Arial" w:hAnsi="Arial" w:cs="Arial"/>
          <w:sz w:val="24"/>
          <w:szCs w:val="24"/>
        </w:rPr>
      </w:pPr>
    </w:p>
    <w:p w14:paraId="600C6233" w14:textId="3CDE646D" w:rsidR="00AC036F" w:rsidRPr="00AC036F" w:rsidRDefault="00C908EC" w:rsidP="00AC036F">
      <w:pPr>
        <w:spacing w:after="0" w:line="240" w:lineRule="auto"/>
        <w:rPr>
          <w:rFonts w:ascii="Arial" w:hAnsi="Arial" w:cs="Arial"/>
          <w:sz w:val="24"/>
          <w:szCs w:val="24"/>
        </w:rPr>
      </w:pPr>
      <w:r>
        <w:rPr>
          <w:rFonts w:ascii="Arial" w:hAnsi="Arial" w:cs="Arial"/>
          <w:sz w:val="24"/>
          <w:szCs w:val="24"/>
        </w:rPr>
        <w:t>TWFRS</w:t>
      </w:r>
      <w:r w:rsidR="00AC036F" w:rsidRPr="00AC036F">
        <w:rPr>
          <w:rFonts w:ascii="Arial" w:hAnsi="Arial" w:cs="Arial"/>
          <w:sz w:val="24"/>
          <w:szCs w:val="24"/>
        </w:rPr>
        <w:t xml:space="preserve"> are committed to openness, transparency and meeting our obligations under the Freedom of Information Act 2000 (FOIA).</w:t>
      </w:r>
    </w:p>
    <w:p w14:paraId="562032BD" w14:textId="77777777" w:rsidR="00AC036F" w:rsidRPr="00AC036F" w:rsidRDefault="00AC036F" w:rsidP="00AC036F">
      <w:pPr>
        <w:spacing w:after="0" w:line="240" w:lineRule="auto"/>
        <w:rPr>
          <w:rFonts w:ascii="Arial" w:hAnsi="Arial" w:cs="Arial"/>
          <w:sz w:val="24"/>
          <w:szCs w:val="24"/>
        </w:rPr>
      </w:pPr>
    </w:p>
    <w:p w14:paraId="2C47724D"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We monitor our handling of Freedom of Information requests to ensure requests are managed effectively and responded to within the statutory timescales wherever possible.</w:t>
      </w:r>
    </w:p>
    <w:p w14:paraId="4BF8AE31" w14:textId="77777777" w:rsidR="00AC036F" w:rsidRPr="00AC036F" w:rsidRDefault="00AC036F" w:rsidP="00AC036F">
      <w:pPr>
        <w:spacing w:after="0" w:line="240" w:lineRule="auto"/>
        <w:rPr>
          <w:rFonts w:ascii="Arial" w:hAnsi="Arial" w:cs="Arial"/>
          <w:sz w:val="24"/>
          <w:szCs w:val="24"/>
        </w:rPr>
      </w:pPr>
    </w:p>
    <w:p w14:paraId="1E3F6CD0"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Under FOIA, public authorities are normally required to respond to requests within 20 working days. The legislation allows additional time in certain circumstances, including where further time is required to consider the public interest test.</w:t>
      </w:r>
    </w:p>
    <w:p w14:paraId="023E2755" w14:textId="77777777" w:rsidR="00AC036F" w:rsidRPr="00AC036F" w:rsidRDefault="00AC036F" w:rsidP="00AC036F">
      <w:pPr>
        <w:spacing w:after="0" w:line="240" w:lineRule="auto"/>
        <w:rPr>
          <w:rFonts w:ascii="Arial" w:hAnsi="Arial" w:cs="Arial"/>
          <w:sz w:val="24"/>
          <w:szCs w:val="24"/>
        </w:rPr>
      </w:pPr>
    </w:p>
    <w:p w14:paraId="25778B19"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Our FOI performance</w:t>
      </w:r>
    </w:p>
    <w:p w14:paraId="761FFFCB" w14:textId="77777777" w:rsidR="00AC036F" w:rsidRPr="00AC036F" w:rsidRDefault="00AC036F" w:rsidP="00AC036F">
      <w:pPr>
        <w:spacing w:after="0" w:line="240" w:lineRule="auto"/>
        <w:rPr>
          <w:rFonts w:ascii="Arial" w:hAnsi="Arial" w:cs="Arial"/>
          <w:sz w:val="24"/>
          <w:szCs w:val="24"/>
        </w:rPr>
      </w:pPr>
    </w:p>
    <w:p w14:paraId="44A50B0D"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We regularly monitor our Freedom of Information performance, including:</w:t>
      </w:r>
    </w:p>
    <w:p w14:paraId="0AA5D8C1" w14:textId="77777777" w:rsidR="00AC036F" w:rsidRPr="00AC036F" w:rsidRDefault="00AC036F" w:rsidP="00AC036F">
      <w:pPr>
        <w:spacing w:after="0" w:line="240" w:lineRule="auto"/>
        <w:rPr>
          <w:rFonts w:ascii="Arial" w:hAnsi="Arial" w:cs="Arial"/>
          <w:sz w:val="24"/>
          <w:szCs w:val="24"/>
        </w:rPr>
      </w:pPr>
    </w:p>
    <w:p w14:paraId="17790E3A"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the number of requests received;</w:t>
      </w:r>
    </w:p>
    <w:p w14:paraId="1A237DB2"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the number of requests completed;</w:t>
      </w:r>
    </w:p>
    <w:p w14:paraId="5E99D919"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the percentage responded to within the statutory timescale;</w:t>
      </w:r>
    </w:p>
    <w:p w14:paraId="4F2A8034"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requests where information was disclosed in full or in part;</w:t>
      </w:r>
    </w:p>
    <w:p w14:paraId="2C8528DA"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requests where information was not held;</w:t>
      </w:r>
    </w:p>
    <w:p w14:paraId="0B7D047F"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requests where exemptions were applied;</w:t>
      </w:r>
    </w:p>
    <w:p w14:paraId="562232AF"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overdue and outstanding requests; and</w:t>
      </w:r>
    </w:p>
    <w:p w14:paraId="78FF4667" w14:textId="77777777" w:rsidR="00AC036F" w:rsidRPr="00AC036F" w:rsidRDefault="00AC036F" w:rsidP="00AC036F">
      <w:pPr>
        <w:pStyle w:val="ListParagraph"/>
        <w:numPr>
          <w:ilvl w:val="0"/>
          <w:numId w:val="1"/>
        </w:numPr>
        <w:spacing w:after="0" w:line="240" w:lineRule="auto"/>
        <w:rPr>
          <w:rFonts w:ascii="Arial" w:hAnsi="Arial" w:cs="Arial"/>
          <w:sz w:val="24"/>
          <w:szCs w:val="24"/>
        </w:rPr>
      </w:pPr>
      <w:r w:rsidRPr="00AC036F">
        <w:rPr>
          <w:rFonts w:ascii="Arial" w:hAnsi="Arial" w:cs="Arial"/>
          <w:sz w:val="24"/>
          <w:szCs w:val="24"/>
        </w:rPr>
        <w:t>requests for internal review.</w:t>
      </w:r>
    </w:p>
    <w:p w14:paraId="743CCDA8" w14:textId="77777777" w:rsidR="00AC036F" w:rsidRPr="00AC036F" w:rsidRDefault="00AC036F" w:rsidP="00AC036F">
      <w:pPr>
        <w:spacing w:after="0" w:line="240" w:lineRule="auto"/>
        <w:rPr>
          <w:rFonts w:ascii="Arial" w:hAnsi="Arial" w:cs="Arial"/>
          <w:sz w:val="24"/>
          <w:szCs w:val="24"/>
        </w:rPr>
      </w:pPr>
    </w:p>
    <w:p w14:paraId="5BAAAA21"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Monitoring this information allows us to identify trends, address areas where improvement may be required and maintain oversight of our compliance with FOIA. The ICO identifies effective logging, tracking, monitoring, internal reporting and the use of performance information to drive improvement as important elements of FOI compliance and assurance.</w:t>
      </w:r>
    </w:p>
    <w:p w14:paraId="3D4D96D2" w14:textId="77777777" w:rsidR="00AC036F" w:rsidRPr="00AC036F" w:rsidRDefault="00AC036F" w:rsidP="00AC036F">
      <w:pPr>
        <w:spacing w:after="0" w:line="240" w:lineRule="auto"/>
        <w:rPr>
          <w:rFonts w:ascii="Arial" w:hAnsi="Arial" w:cs="Arial"/>
          <w:sz w:val="24"/>
          <w:szCs w:val="24"/>
        </w:rPr>
      </w:pPr>
    </w:p>
    <w:p w14:paraId="649FC02B" w14:textId="77777777" w:rsidR="00AC036F" w:rsidRPr="00AC036F" w:rsidRDefault="00AC036F" w:rsidP="00AC036F">
      <w:pPr>
        <w:spacing w:after="0" w:line="240" w:lineRule="auto"/>
        <w:rPr>
          <w:rFonts w:ascii="Arial" w:hAnsi="Arial" w:cs="Arial"/>
          <w:sz w:val="24"/>
          <w:szCs w:val="24"/>
        </w:rPr>
      </w:pPr>
      <w:r w:rsidRPr="00AC036F">
        <w:rPr>
          <w:rFonts w:ascii="Arial" w:hAnsi="Arial" w:cs="Arial"/>
          <w:sz w:val="24"/>
          <w:szCs w:val="24"/>
        </w:rPr>
        <w:t>FOI compliance statistics</w:t>
      </w:r>
    </w:p>
    <w:p w14:paraId="009A590F" w14:textId="77777777" w:rsidR="00AC036F" w:rsidRPr="00AC036F" w:rsidRDefault="00AC036F" w:rsidP="00AC036F">
      <w:pPr>
        <w:spacing w:after="0" w:line="240" w:lineRule="auto"/>
        <w:rPr>
          <w:rFonts w:ascii="Arial" w:hAnsi="Arial" w:cs="Arial"/>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06"/>
        <w:gridCol w:w="1490"/>
        <w:gridCol w:w="1642"/>
        <w:gridCol w:w="2451"/>
        <w:gridCol w:w="1621"/>
      </w:tblGrid>
      <w:tr w:rsidR="00AC036F" w:rsidRPr="00AC036F" w14:paraId="10EA0C45"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46E23F0" w14:textId="77777777" w:rsidR="00AC036F" w:rsidRPr="00AC036F" w:rsidRDefault="00AC036F" w:rsidP="00AC036F">
            <w:pPr>
              <w:spacing w:after="0" w:line="240" w:lineRule="auto"/>
              <w:jc w:val="center"/>
              <w:rPr>
                <w:rFonts w:ascii="Arial" w:eastAsia="Times New Roman" w:hAnsi="Arial" w:cs="Arial"/>
                <w:b/>
                <w:bCs/>
                <w:kern w:val="0"/>
                <w:sz w:val="24"/>
                <w:szCs w:val="24"/>
                <w:lang w:eastAsia="en-GB"/>
                <w14:ligatures w14:val="none"/>
              </w:rPr>
            </w:pPr>
            <w:r w:rsidRPr="00AC036F">
              <w:rPr>
                <w:rFonts w:ascii="Arial" w:eastAsia="Times New Roman" w:hAnsi="Arial" w:cs="Arial"/>
                <w:b/>
                <w:bCs/>
                <w:kern w:val="0"/>
                <w:sz w:val="24"/>
                <w:szCs w:val="24"/>
                <w:lang w:eastAsia="en-GB"/>
                <w14:ligatures w14:val="none"/>
              </w:rPr>
              <w:t>Reporting period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0657BD0" w14:textId="77777777" w:rsidR="00AC036F" w:rsidRPr="00AC036F" w:rsidRDefault="00AC036F" w:rsidP="00AC036F">
            <w:pPr>
              <w:spacing w:after="0" w:line="240" w:lineRule="auto"/>
              <w:jc w:val="center"/>
              <w:rPr>
                <w:rFonts w:ascii="Arial" w:eastAsia="Times New Roman" w:hAnsi="Arial" w:cs="Arial"/>
                <w:b/>
                <w:bCs/>
                <w:kern w:val="0"/>
                <w:sz w:val="24"/>
                <w:szCs w:val="24"/>
                <w:lang w:eastAsia="en-GB"/>
                <w14:ligatures w14:val="none"/>
              </w:rPr>
            </w:pPr>
            <w:r w:rsidRPr="00AC036F">
              <w:rPr>
                <w:rFonts w:ascii="Arial" w:eastAsia="Times New Roman" w:hAnsi="Arial" w:cs="Arial"/>
                <w:b/>
                <w:bCs/>
                <w:kern w:val="0"/>
                <w:sz w:val="24"/>
                <w:szCs w:val="24"/>
                <w:lang w:eastAsia="en-GB"/>
                <w14:ligatures w14:val="none"/>
              </w:rPr>
              <w:t>Requests received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04BBB4B" w14:textId="77777777" w:rsidR="00AC036F" w:rsidRPr="00AC036F" w:rsidRDefault="00AC036F" w:rsidP="00AC036F">
            <w:pPr>
              <w:spacing w:after="0" w:line="240" w:lineRule="auto"/>
              <w:jc w:val="center"/>
              <w:rPr>
                <w:rFonts w:ascii="Arial" w:eastAsia="Times New Roman" w:hAnsi="Arial" w:cs="Arial"/>
                <w:b/>
                <w:bCs/>
                <w:kern w:val="0"/>
                <w:sz w:val="24"/>
                <w:szCs w:val="24"/>
                <w:lang w:eastAsia="en-GB"/>
                <w14:ligatures w14:val="none"/>
              </w:rPr>
            </w:pPr>
            <w:r w:rsidRPr="00AC036F">
              <w:rPr>
                <w:rFonts w:ascii="Arial" w:eastAsia="Times New Roman" w:hAnsi="Arial" w:cs="Arial"/>
                <w:b/>
                <w:bCs/>
                <w:kern w:val="0"/>
                <w:sz w:val="24"/>
                <w:szCs w:val="24"/>
                <w:lang w:eastAsia="en-GB"/>
                <w14:ligatures w14:val="none"/>
              </w:rPr>
              <w:t>Requests completed</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45D1931" w14:textId="03252CF1" w:rsidR="00AC036F" w:rsidRPr="00AC036F" w:rsidRDefault="00AC036F" w:rsidP="00AC036F">
            <w:pPr>
              <w:spacing w:after="0" w:line="240" w:lineRule="auto"/>
              <w:jc w:val="center"/>
              <w:rPr>
                <w:rFonts w:ascii="Arial" w:eastAsia="Times New Roman" w:hAnsi="Arial" w:cs="Arial"/>
                <w:b/>
                <w:bCs/>
                <w:kern w:val="0"/>
                <w:sz w:val="24"/>
                <w:szCs w:val="24"/>
                <w:lang w:eastAsia="en-GB"/>
                <w14:ligatures w14:val="none"/>
              </w:rPr>
            </w:pPr>
            <w:r w:rsidRPr="00AC036F">
              <w:rPr>
                <w:rFonts w:ascii="Arial" w:eastAsia="Times New Roman" w:hAnsi="Arial" w:cs="Arial"/>
                <w:b/>
                <w:bCs/>
                <w:kern w:val="0"/>
                <w:sz w:val="24"/>
                <w:szCs w:val="24"/>
                <w:lang w:eastAsia="en-GB"/>
                <w14:ligatures w14:val="none"/>
              </w:rPr>
              <w:t xml:space="preserve">Responded within </w:t>
            </w:r>
            <w:r>
              <w:rPr>
                <w:rFonts w:ascii="Arial" w:eastAsia="Times New Roman" w:hAnsi="Arial" w:cs="Arial"/>
                <w:b/>
                <w:bCs/>
                <w:kern w:val="0"/>
                <w:sz w:val="24"/>
                <w:szCs w:val="24"/>
                <w:lang w:eastAsia="en-GB"/>
                <w14:ligatures w14:val="none"/>
              </w:rPr>
              <w:t xml:space="preserve">the </w:t>
            </w:r>
            <w:r w:rsidRPr="00AC036F">
              <w:rPr>
                <w:rFonts w:ascii="Arial" w:eastAsia="Times New Roman" w:hAnsi="Arial" w:cs="Arial"/>
                <w:b/>
                <w:bCs/>
                <w:kern w:val="0"/>
                <w:sz w:val="24"/>
                <w:szCs w:val="24"/>
                <w:lang w:eastAsia="en-GB"/>
                <w14:ligatures w14:val="none"/>
              </w:rPr>
              <w:t>statutory timescale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129C4AB0" w14:textId="77777777" w:rsidR="00AC036F" w:rsidRPr="00AC036F" w:rsidRDefault="00AC036F" w:rsidP="00AC036F">
            <w:pPr>
              <w:spacing w:after="0" w:line="240" w:lineRule="auto"/>
              <w:jc w:val="center"/>
              <w:rPr>
                <w:rFonts w:ascii="Arial" w:eastAsia="Times New Roman" w:hAnsi="Arial" w:cs="Arial"/>
                <w:b/>
                <w:bCs/>
                <w:kern w:val="0"/>
                <w:sz w:val="24"/>
                <w:szCs w:val="24"/>
                <w:lang w:eastAsia="en-GB"/>
                <w14:ligatures w14:val="none"/>
              </w:rPr>
            </w:pPr>
            <w:r w:rsidRPr="00AC036F">
              <w:rPr>
                <w:rFonts w:ascii="Arial" w:eastAsia="Times New Roman" w:hAnsi="Arial" w:cs="Arial"/>
                <w:b/>
                <w:bCs/>
                <w:kern w:val="0"/>
                <w:sz w:val="24"/>
                <w:szCs w:val="24"/>
                <w:lang w:eastAsia="en-GB"/>
                <w14:ligatures w14:val="none"/>
              </w:rPr>
              <w:t>Compliance rate</w:t>
            </w:r>
          </w:p>
        </w:tc>
      </w:tr>
      <w:tr w:rsidR="00AC036F" w:rsidRPr="00AC036F" w14:paraId="0C75AF1E"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7DE56DBB" w14:textId="77777777"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April to June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5AFA7C0" w14:textId="72539275"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EC364AB" w14:textId="3513885B"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F9A786" w14:textId="2E71A014"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C9C8A62" w14:textId="44A3CF89"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100</w:t>
            </w:r>
            <w:r w:rsidRPr="00AC036F">
              <w:rPr>
                <w:rFonts w:ascii="Arial" w:eastAsia="Times New Roman" w:hAnsi="Arial" w:cs="Arial"/>
                <w:kern w:val="0"/>
                <w:sz w:val="24"/>
                <w:szCs w:val="24"/>
                <w:lang w:eastAsia="en-GB"/>
                <w14:ligatures w14:val="none"/>
              </w:rPr>
              <w:t>%</w:t>
            </w:r>
          </w:p>
        </w:tc>
      </w:tr>
      <w:tr w:rsidR="00AC036F" w:rsidRPr="00AC036F" w14:paraId="2B4A5DD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9CBB963" w14:textId="77777777"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July to September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793DA3D" w14:textId="31DCF42E"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E2836BE" w14:textId="310219D4"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7C8F609" w14:textId="4664FC14"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3937708" w14:textId="204A9AE6"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w:t>
            </w:r>
          </w:p>
        </w:tc>
      </w:tr>
      <w:tr w:rsidR="00AC036F" w:rsidRPr="00AC036F" w14:paraId="7DCA115A"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EFF35E8" w14:textId="77777777"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October to December 2026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FC3EA95" w14:textId="581581C3"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0B4626" w14:textId="7427E249"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D8EE88F" w14:textId="4703B4BE"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E7C9E1A" w14:textId="519239A9"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w:t>
            </w:r>
          </w:p>
        </w:tc>
      </w:tr>
      <w:tr w:rsidR="00AC036F" w:rsidRPr="00AC036F" w14:paraId="5C641A5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C089597" w14:textId="77777777"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January to March 2027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05FB147" w14:textId="030F174C"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220A816" w14:textId="412FA934"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9DD5624" w14:textId="67F7ADA0" w:rsidR="00AC036F" w:rsidRPr="00AC036F" w:rsidRDefault="00AC036F" w:rsidP="00AC036F">
            <w:pPr>
              <w:spacing w:after="0" w:line="240" w:lineRule="auto"/>
              <w:rPr>
                <w:rFonts w:ascii="Arial" w:eastAsia="Times New Roman" w:hAnsi="Arial" w:cs="Arial"/>
                <w:kern w:val="0"/>
                <w:sz w:val="24"/>
                <w:szCs w:val="24"/>
                <w:lang w:eastAsia="en-GB"/>
                <w14:ligatures w14:val="none"/>
              </w:rPr>
            </w:pP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B3E9EEF" w14:textId="2C154BFC" w:rsidR="00AC036F" w:rsidRPr="00AC036F" w:rsidRDefault="00AC036F" w:rsidP="00AC036F">
            <w:pPr>
              <w:spacing w:after="0" w:line="240" w:lineRule="auto"/>
              <w:rPr>
                <w:rFonts w:ascii="Arial" w:eastAsia="Times New Roman" w:hAnsi="Arial" w:cs="Arial"/>
                <w:kern w:val="0"/>
                <w:sz w:val="24"/>
                <w:szCs w:val="24"/>
                <w:lang w:eastAsia="en-GB"/>
                <w14:ligatures w14:val="none"/>
              </w:rPr>
            </w:pPr>
            <w:r w:rsidRPr="00AC036F">
              <w:rPr>
                <w:rFonts w:ascii="Arial" w:eastAsia="Times New Roman" w:hAnsi="Arial" w:cs="Arial"/>
                <w:kern w:val="0"/>
                <w:sz w:val="24"/>
                <w:szCs w:val="24"/>
                <w:lang w:eastAsia="en-GB"/>
                <w14:ligatures w14:val="none"/>
              </w:rPr>
              <w:t>%</w:t>
            </w:r>
          </w:p>
        </w:tc>
      </w:tr>
      <w:tr w:rsidR="00E45C87" w:rsidRPr="00AC036F" w14:paraId="4F9CEA77"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5D684C0" w14:textId="6C61BC49" w:rsidR="00E45C87" w:rsidRPr="00AC036F" w:rsidRDefault="00E45C87"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 xml:space="preserve">Annual Total </w:t>
            </w:r>
          </w:p>
        </w:tc>
        <w:tc>
          <w:tcPr>
            <w:tcW w:w="0" w:type="auto"/>
            <w:tcBorders>
              <w:top w:val="single" w:sz="6" w:space="0" w:color="E6E6E6"/>
              <w:left w:val="single" w:sz="6" w:space="0" w:color="E6E6E6"/>
              <w:bottom w:val="single" w:sz="6" w:space="0" w:color="E6E6E6"/>
              <w:right w:val="single" w:sz="6" w:space="0" w:color="E6E6E6"/>
            </w:tcBorders>
            <w:vAlign w:val="center"/>
          </w:tcPr>
          <w:p w14:paraId="31AF8102" w14:textId="05651290" w:rsidR="00E45C87" w:rsidRPr="00AC036F" w:rsidRDefault="00E45C87"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tcPr>
          <w:p w14:paraId="34F4F99A" w14:textId="530AE3DE" w:rsidR="00E45C87" w:rsidRPr="00AC036F" w:rsidRDefault="00E45C87"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tcPr>
          <w:p w14:paraId="3518548D" w14:textId="6FD912AA" w:rsidR="00E45C87" w:rsidRPr="00AC036F" w:rsidRDefault="00E45C87"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41</w:t>
            </w:r>
          </w:p>
        </w:tc>
        <w:tc>
          <w:tcPr>
            <w:tcW w:w="0" w:type="auto"/>
            <w:tcBorders>
              <w:top w:val="single" w:sz="6" w:space="0" w:color="E6E6E6"/>
              <w:left w:val="single" w:sz="6" w:space="0" w:color="E6E6E6"/>
              <w:bottom w:val="single" w:sz="6" w:space="0" w:color="E6E6E6"/>
              <w:right w:val="single" w:sz="6" w:space="0" w:color="E6E6E6"/>
            </w:tcBorders>
            <w:vAlign w:val="center"/>
          </w:tcPr>
          <w:p w14:paraId="01706344" w14:textId="75ADE5D6" w:rsidR="00E45C87" w:rsidRPr="00AC036F" w:rsidRDefault="00E45C87" w:rsidP="00AC036F">
            <w:pPr>
              <w:spacing w:after="0" w:line="240" w:lineRule="auto"/>
              <w:rPr>
                <w:rFonts w:ascii="Arial" w:eastAsia="Times New Roman" w:hAnsi="Arial" w:cs="Arial"/>
                <w:kern w:val="0"/>
                <w:sz w:val="24"/>
                <w:szCs w:val="24"/>
                <w:lang w:eastAsia="en-GB"/>
                <w14:ligatures w14:val="none"/>
              </w:rPr>
            </w:pPr>
            <w:r>
              <w:rPr>
                <w:rFonts w:ascii="Arial" w:eastAsia="Times New Roman" w:hAnsi="Arial" w:cs="Arial"/>
                <w:kern w:val="0"/>
                <w:sz w:val="24"/>
                <w:szCs w:val="24"/>
                <w:lang w:eastAsia="en-GB"/>
                <w14:ligatures w14:val="none"/>
              </w:rPr>
              <w:t>%</w:t>
            </w:r>
          </w:p>
        </w:tc>
      </w:tr>
    </w:tbl>
    <w:p w14:paraId="1BD76196" w14:textId="5ED0EB6C" w:rsidR="000C78A2" w:rsidRPr="000C78A2" w:rsidRDefault="000C78A2" w:rsidP="00AC036F">
      <w:pPr>
        <w:spacing w:after="0" w:line="240" w:lineRule="auto"/>
        <w:rPr>
          <w:rFonts w:ascii="Arial" w:hAnsi="Arial" w:cs="Arial"/>
          <w:sz w:val="24"/>
          <w:szCs w:val="24"/>
        </w:rPr>
      </w:pPr>
    </w:p>
    <w:sectPr w:rsidR="000C78A2" w:rsidRPr="000C78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BF7276"/>
    <w:multiLevelType w:val="hybridMultilevel"/>
    <w:tmpl w:val="D2021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7441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36F"/>
    <w:rsid w:val="000C78A2"/>
    <w:rsid w:val="00761C83"/>
    <w:rsid w:val="00AC036F"/>
    <w:rsid w:val="00C908EC"/>
    <w:rsid w:val="00CA14FF"/>
    <w:rsid w:val="00D175E2"/>
    <w:rsid w:val="00D50F05"/>
    <w:rsid w:val="00E45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17FC8"/>
  <w15:chartTrackingRefBased/>
  <w15:docId w15:val="{5D3AAA5B-E452-4114-8DAD-56B27DF9CE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36F"/>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AC036F"/>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AC036F"/>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AC036F"/>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AC036F"/>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AC036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36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36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36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36F"/>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AC036F"/>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AC036F"/>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AC036F"/>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AC036F"/>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AC036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36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36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36F"/>
    <w:rPr>
      <w:rFonts w:eastAsiaTheme="majorEastAsia" w:cstheme="majorBidi"/>
      <w:color w:val="272727" w:themeColor="text1" w:themeTint="D8"/>
    </w:rPr>
  </w:style>
  <w:style w:type="paragraph" w:styleId="Title">
    <w:name w:val="Title"/>
    <w:basedOn w:val="Normal"/>
    <w:next w:val="Normal"/>
    <w:link w:val="TitleChar"/>
    <w:uiPriority w:val="10"/>
    <w:qFormat/>
    <w:rsid w:val="00AC03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3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36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36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36F"/>
    <w:pPr>
      <w:spacing w:before="160"/>
      <w:jc w:val="center"/>
    </w:pPr>
    <w:rPr>
      <w:i/>
      <w:iCs/>
      <w:color w:val="404040" w:themeColor="text1" w:themeTint="BF"/>
    </w:rPr>
  </w:style>
  <w:style w:type="character" w:customStyle="1" w:styleId="QuoteChar">
    <w:name w:val="Quote Char"/>
    <w:basedOn w:val="DefaultParagraphFont"/>
    <w:link w:val="Quote"/>
    <w:uiPriority w:val="29"/>
    <w:rsid w:val="00AC036F"/>
    <w:rPr>
      <w:i/>
      <w:iCs/>
      <w:color w:val="404040" w:themeColor="text1" w:themeTint="BF"/>
    </w:rPr>
  </w:style>
  <w:style w:type="paragraph" w:styleId="ListParagraph">
    <w:name w:val="List Paragraph"/>
    <w:basedOn w:val="Normal"/>
    <w:uiPriority w:val="34"/>
    <w:qFormat/>
    <w:rsid w:val="00AC036F"/>
    <w:pPr>
      <w:ind w:left="720"/>
      <w:contextualSpacing/>
    </w:pPr>
  </w:style>
  <w:style w:type="character" w:styleId="IntenseEmphasis">
    <w:name w:val="Intense Emphasis"/>
    <w:basedOn w:val="DefaultParagraphFont"/>
    <w:uiPriority w:val="21"/>
    <w:qFormat/>
    <w:rsid w:val="00AC036F"/>
    <w:rPr>
      <w:i/>
      <w:iCs/>
      <w:color w:val="2E74B5" w:themeColor="accent1" w:themeShade="BF"/>
    </w:rPr>
  </w:style>
  <w:style w:type="paragraph" w:styleId="IntenseQuote">
    <w:name w:val="Intense Quote"/>
    <w:basedOn w:val="Normal"/>
    <w:next w:val="Normal"/>
    <w:link w:val="IntenseQuoteChar"/>
    <w:uiPriority w:val="30"/>
    <w:qFormat/>
    <w:rsid w:val="00AC036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AC036F"/>
    <w:rPr>
      <w:i/>
      <w:iCs/>
      <w:color w:val="2E74B5" w:themeColor="accent1" w:themeShade="BF"/>
    </w:rPr>
  </w:style>
  <w:style w:type="character" w:styleId="IntenseReference">
    <w:name w:val="Intense Reference"/>
    <w:basedOn w:val="DefaultParagraphFont"/>
    <w:uiPriority w:val="32"/>
    <w:qFormat/>
    <w:rsid w:val="00AC036F"/>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246</Words>
  <Characters>1403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 Halliday-Huitson</dc:creator>
  <cp:keywords/>
  <dc:description/>
  <cp:lastModifiedBy>Helen Halliday-Huitson</cp:lastModifiedBy>
  <cp:revision>4</cp:revision>
  <dcterms:created xsi:type="dcterms:W3CDTF">2026-09-24T09:01:00Z</dcterms:created>
  <dcterms:modified xsi:type="dcterms:W3CDTF">2026-09-24T09:16:00Z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780d4f33-2bfc-4b0e-9f76-3cf0d91f6924</vt:lpwstr>
  </property>
</Properties>
</file>