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DD5" w:rsidRPr="006B3DD5" w:rsidRDefault="006B3DD5" w:rsidP="00304C65">
      <w:pPr>
        <w:pStyle w:val="xxmsonormal"/>
        <w:rPr>
          <w:rFonts w:ascii="Arial" w:hAnsi="Arial" w:cs="Arial"/>
          <w:sz w:val="24"/>
          <w:szCs w:val="24"/>
        </w:rPr>
      </w:pPr>
      <w:r w:rsidRPr="006B3DD5">
        <w:rPr>
          <w:rFonts w:ascii="Arial" w:hAnsi="Arial" w:cs="Arial"/>
          <w:b/>
          <w:bCs/>
          <w:iCs/>
          <w:sz w:val="24"/>
          <w:szCs w:val="24"/>
        </w:rPr>
        <w:t>Delay in publishing audited Statement of Accounts: Year Ended 31 March 202</w:t>
      </w:r>
      <w:r w:rsidR="00A077E0">
        <w:rPr>
          <w:rFonts w:ascii="Arial" w:hAnsi="Arial" w:cs="Arial"/>
          <w:b/>
          <w:bCs/>
          <w:iCs/>
          <w:sz w:val="24"/>
          <w:szCs w:val="24"/>
        </w:rPr>
        <w:t>3</w:t>
      </w:r>
    </w:p>
    <w:p w:rsidR="006B3DD5" w:rsidRPr="006B3DD5" w:rsidRDefault="006B3DD5" w:rsidP="006B3DD5">
      <w:pPr>
        <w:pStyle w:val="xxmsonormal"/>
        <w:ind w:left="720"/>
        <w:rPr>
          <w:rFonts w:ascii="Arial" w:hAnsi="Arial" w:cs="Arial"/>
          <w:sz w:val="24"/>
          <w:szCs w:val="24"/>
        </w:rPr>
      </w:pPr>
      <w:r w:rsidRPr="006B3DD5">
        <w:rPr>
          <w:rFonts w:ascii="Arial" w:hAnsi="Arial" w:cs="Arial"/>
          <w:iCs/>
          <w:sz w:val="24"/>
          <w:szCs w:val="24"/>
        </w:rPr>
        <w:t> </w:t>
      </w:r>
    </w:p>
    <w:p w:rsidR="006B3DD5" w:rsidRPr="006B3DD5" w:rsidRDefault="006B3DD5" w:rsidP="00304C65">
      <w:pPr>
        <w:pStyle w:val="xxmsonormal"/>
        <w:rPr>
          <w:rFonts w:ascii="Arial" w:hAnsi="Arial" w:cs="Arial"/>
          <w:sz w:val="24"/>
          <w:szCs w:val="24"/>
        </w:rPr>
      </w:pPr>
      <w:r w:rsidRPr="006B3DD5">
        <w:rPr>
          <w:rFonts w:ascii="Arial" w:hAnsi="Arial" w:cs="Arial"/>
          <w:b/>
          <w:bCs/>
          <w:iCs/>
          <w:sz w:val="24"/>
          <w:szCs w:val="24"/>
        </w:rPr>
        <w:t>Publication of Tyne and Wear Fire and Rescue Authority’s</w:t>
      </w:r>
      <w:r>
        <w:rPr>
          <w:rFonts w:ascii="Arial" w:hAnsi="Arial" w:cs="Arial"/>
          <w:b/>
          <w:bCs/>
          <w:iCs/>
          <w:sz w:val="24"/>
          <w:szCs w:val="24"/>
        </w:rPr>
        <w:t xml:space="preserve"> (TWFRA)</w:t>
      </w:r>
      <w:r w:rsidRPr="006B3DD5">
        <w:rPr>
          <w:rFonts w:ascii="Arial" w:hAnsi="Arial" w:cs="Arial"/>
          <w:b/>
          <w:bCs/>
          <w:iCs/>
          <w:sz w:val="24"/>
          <w:szCs w:val="24"/>
        </w:rPr>
        <w:t xml:space="preserve"> Statement of Accounts and Audit Opinion</w:t>
      </w:r>
    </w:p>
    <w:p w:rsidR="006B3DD5" w:rsidRPr="006B3DD5" w:rsidRDefault="006B3DD5" w:rsidP="00304C65">
      <w:pPr>
        <w:pStyle w:val="xxmsonormal"/>
        <w:rPr>
          <w:rFonts w:ascii="Arial" w:hAnsi="Arial" w:cs="Arial"/>
          <w:sz w:val="24"/>
          <w:szCs w:val="24"/>
        </w:rPr>
      </w:pPr>
      <w:r w:rsidRPr="006B3DD5">
        <w:rPr>
          <w:rFonts w:ascii="Arial" w:hAnsi="Arial" w:cs="Arial"/>
          <w:iCs/>
          <w:sz w:val="24"/>
          <w:szCs w:val="24"/>
        </w:rPr>
        <w:t> </w:t>
      </w:r>
    </w:p>
    <w:p w:rsidR="006B3DD5" w:rsidRPr="006B3DD5" w:rsidRDefault="006B3DD5" w:rsidP="00304C65">
      <w:pPr>
        <w:pStyle w:val="xxmsonormal"/>
        <w:rPr>
          <w:rFonts w:ascii="Arial" w:hAnsi="Arial" w:cs="Arial"/>
          <w:sz w:val="24"/>
          <w:szCs w:val="24"/>
        </w:rPr>
      </w:pPr>
      <w:r w:rsidRPr="006B3DD5">
        <w:rPr>
          <w:rFonts w:ascii="Arial" w:hAnsi="Arial" w:cs="Arial"/>
          <w:iCs/>
          <w:sz w:val="24"/>
          <w:szCs w:val="24"/>
        </w:rPr>
        <w:t>The external audit of the draft Statement of Accounts for the year ended 31 March 202</w:t>
      </w:r>
      <w:r w:rsidR="00A077E0">
        <w:rPr>
          <w:rFonts w:ascii="Arial" w:hAnsi="Arial" w:cs="Arial"/>
          <w:iCs/>
          <w:sz w:val="24"/>
          <w:szCs w:val="24"/>
        </w:rPr>
        <w:t>3</w:t>
      </w:r>
      <w:r w:rsidRPr="006B3DD5">
        <w:rPr>
          <w:rFonts w:ascii="Arial" w:hAnsi="Arial" w:cs="Arial"/>
          <w:iCs/>
          <w:sz w:val="24"/>
          <w:szCs w:val="24"/>
        </w:rPr>
        <w:t xml:space="preserve"> has not yet been completed by our external auditors, Mazars LLP</w:t>
      </w:r>
      <w:r w:rsidRPr="006B3DD5">
        <w:rPr>
          <w:rFonts w:ascii="Arial" w:hAnsi="Arial" w:cs="Arial"/>
          <w:iCs/>
          <w:color w:val="464B4B"/>
          <w:sz w:val="24"/>
          <w:szCs w:val="24"/>
        </w:rPr>
        <w:t>.</w:t>
      </w:r>
    </w:p>
    <w:p w:rsidR="006B3DD5" w:rsidRPr="006B3DD5" w:rsidRDefault="006B3DD5" w:rsidP="00304C65">
      <w:pPr>
        <w:pStyle w:val="xxmsonormal"/>
        <w:rPr>
          <w:rFonts w:ascii="Arial" w:hAnsi="Arial" w:cs="Arial"/>
          <w:sz w:val="24"/>
          <w:szCs w:val="24"/>
        </w:rPr>
      </w:pPr>
      <w:r w:rsidRPr="006B3DD5">
        <w:rPr>
          <w:rFonts w:ascii="Arial" w:hAnsi="Arial" w:cs="Arial"/>
          <w:iCs/>
          <w:sz w:val="24"/>
          <w:szCs w:val="24"/>
        </w:rPr>
        <w:t> </w:t>
      </w:r>
    </w:p>
    <w:p w:rsidR="00304C65" w:rsidRDefault="006B3DD5" w:rsidP="00304C65">
      <w:pPr>
        <w:pStyle w:val="xxmsonormal"/>
        <w:rPr>
          <w:rFonts w:ascii="Arial" w:hAnsi="Arial" w:cs="Arial"/>
          <w:iCs/>
          <w:sz w:val="24"/>
          <w:szCs w:val="24"/>
        </w:rPr>
      </w:pPr>
      <w:r w:rsidRPr="006B3DD5">
        <w:rPr>
          <w:rFonts w:ascii="Arial" w:hAnsi="Arial" w:cs="Arial"/>
          <w:iCs/>
          <w:sz w:val="24"/>
          <w:szCs w:val="24"/>
        </w:rPr>
        <w:t>This situation is allowed for by Regulation 10, paragraph</w:t>
      </w:r>
      <w:r w:rsidR="00304C65">
        <w:rPr>
          <w:rFonts w:ascii="Arial" w:hAnsi="Arial" w:cs="Arial"/>
          <w:iCs/>
          <w:sz w:val="24"/>
          <w:szCs w:val="24"/>
        </w:rPr>
        <w:t>s</w:t>
      </w:r>
      <w:r w:rsidRPr="006B3DD5">
        <w:rPr>
          <w:rFonts w:ascii="Arial" w:hAnsi="Arial" w:cs="Arial"/>
          <w:iCs/>
          <w:sz w:val="24"/>
          <w:szCs w:val="24"/>
        </w:rPr>
        <w:t xml:space="preserve"> (</w:t>
      </w:r>
      <w:r w:rsidR="00304C65">
        <w:rPr>
          <w:rFonts w:ascii="Arial" w:hAnsi="Arial" w:cs="Arial"/>
          <w:iCs/>
          <w:sz w:val="24"/>
          <w:szCs w:val="24"/>
        </w:rPr>
        <w:t xml:space="preserve">1 and </w:t>
      </w:r>
      <w:r w:rsidRPr="006B3DD5">
        <w:rPr>
          <w:rFonts w:ascii="Arial" w:hAnsi="Arial" w:cs="Arial"/>
          <w:iCs/>
          <w:sz w:val="24"/>
          <w:szCs w:val="24"/>
        </w:rPr>
        <w:t xml:space="preserve">2) of the Accounts and Audit Regulations 2015 (SI 2015/234) </w:t>
      </w:r>
      <w:hyperlink r:id="rId6" w:history="1">
        <w:r w:rsidRPr="006B3DD5">
          <w:rPr>
            <w:rStyle w:val="Hyperlink"/>
            <w:rFonts w:ascii="Arial" w:hAnsi="Arial" w:cs="Arial"/>
            <w:iCs/>
            <w:sz w:val="24"/>
            <w:szCs w:val="24"/>
          </w:rPr>
          <w:t>https://www.legislation.gov.uk/uksi/2015/234/regulation/10</w:t>
        </w:r>
      </w:hyperlink>
      <w:r w:rsidRPr="006B3DD5">
        <w:rPr>
          <w:rFonts w:ascii="Arial" w:hAnsi="Arial" w:cs="Arial"/>
          <w:iCs/>
          <w:sz w:val="24"/>
          <w:szCs w:val="24"/>
        </w:rPr>
        <w:t>,</w:t>
      </w:r>
      <w:r w:rsidR="00304C65">
        <w:rPr>
          <w:rFonts w:ascii="Arial" w:hAnsi="Arial" w:cs="Arial"/>
          <w:iCs/>
          <w:sz w:val="24"/>
          <w:szCs w:val="24"/>
        </w:rPr>
        <w:t xml:space="preserve"> which are replicated below for information with the highlighted sections applicable</w:t>
      </w:r>
      <w:r w:rsidR="00922D70">
        <w:rPr>
          <w:rFonts w:ascii="Arial" w:hAnsi="Arial" w:cs="Arial"/>
          <w:iCs/>
          <w:sz w:val="24"/>
          <w:szCs w:val="24"/>
        </w:rPr>
        <w:t xml:space="preserve"> as follows</w:t>
      </w:r>
      <w:r w:rsidR="00304C65">
        <w:rPr>
          <w:rFonts w:ascii="Arial" w:hAnsi="Arial" w:cs="Arial"/>
          <w:iCs/>
          <w:sz w:val="24"/>
          <w:szCs w:val="24"/>
        </w:rPr>
        <w:t xml:space="preserve">: </w:t>
      </w:r>
    </w:p>
    <w:p w:rsidR="00304C65" w:rsidRDefault="00304C65" w:rsidP="006B3DD5">
      <w:pPr>
        <w:pStyle w:val="xxmsonormal"/>
        <w:ind w:left="720"/>
        <w:rPr>
          <w:rFonts w:ascii="Arial" w:hAnsi="Arial" w:cs="Arial"/>
          <w:iCs/>
          <w:sz w:val="24"/>
          <w:szCs w:val="24"/>
        </w:rPr>
      </w:pPr>
    </w:p>
    <w:p w:rsidR="00304C65" w:rsidRPr="009620E9" w:rsidRDefault="00304C65" w:rsidP="00304C65">
      <w:pPr>
        <w:rPr>
          <w:b/>
          <w:bCs/>
        </w:rPr>
      </w:pPr>
      <w:r>
        <w:rPr>
          <w:b/>
          <w:bCs/>
        </w:rPr>
        <w:t>“</w:t>
      </w:r>
      <w:r w:rsidRPr="009620E9">
        <w:rPr>
          <w:b/>
          <w:bCs/>
        </w:rPr>
        <w:t>The Accounts and Audit Regulations 2015</w:t>
      </w:r>
    </w:p>
    <w:p w:rsidR="00304C65" w:rsidRPr="009620E9" w:rsidRDefault="00304C65" w:rsidP="00304C65">
      <w:pPr>
        <w:rPr>
          <w:b/>
          <w:bCs/>
        </w:rPr>
      </w:pPr>
      <w:r w:rsidRPr="009620E9">
        <w:rPr>
          <w:b/>
          <w:bCs/>
        </w:rPr>
        <w:t>UK Statutory Instruments 2015 No. 234, PART 3: Regulation 10</w:t>
      </w:r>
    </w:p>
    <w:p w:rsidR="00304C65" w:rsidRPr="009620E9" w:rsidRDefault="00304C65" w:rsidP="00304C65">
      <w:pPr>
        <w:rPr>
          <w:b/>
          <w:bCs/>
        </w:rPr>
      </w:pPr>
      <w:r w:rsidRPr="009620E9">
        <w:rPr>
          <w:b/>
          <w:bCs/>
        </w:rPr>
        <w:t>Publication of statement of accounts, annual governance statement and narrative statement for Category 1 authorities</w:t>
      </w:r>
    </w:p>
    <w:p w:rsidR="00304C65" w:rsidRDefault="00304C65" w:rsidP="00304C65">
      <w:r>
        <w:t xml:space="preserve">10.—(1) A Category 1 authority must, after approving the statement of accounts in accordance with regulation 9(2) but not later than 31st July </w:t>
      </w:r>
      <w:r w:rsidRPr="009620E9">
        <w:rPr>
          <w:b/>
          <w:bCs/>
          <w:highlight w:val="yellow"/>
        </w:rPr>
        <w:t>[for 2022/23 the relevant date is 30 September 2023]</w:t>
      </w:r>
      <w:r>
        <w:t xml:space="preserve"> of the financial year immediately following the end of the financial year to which the statement relates, publish (which must include publication on the authority’s website)—</w:t>
      </w:r>
    </w:p>
    <w:p w:rsidR="00304C65" w:rsidRDefault="00304C65" w:rsidP="00304C65">
      <w:r>
        <w:t>(a)the statement of accounts together with any certificate or opinion, entered by the local auditor in accordance with section 20(2) of the Act;</w:t>
      </w:r>
    </w:p>
    <w:p w:rsidR="00304C65" w:rsidRDefault="00304C65" w:rsidP="00304C65">
      <w:r>
        <w:t>(b)the annual governance statement approved in accordance with regulation 6(2); and</w:t>
      </w:r>
    </w:p>
    <w:p w:rsidR="00304C65" w:rsidRDefault="00304C65" w:rsidP="00304C65">
      <w:r>
        <w:t>(c)the narrative statement prepared in accordance with regulation 8.</w:t>
      </w:r>
    </w:p>
    <w:p w:rsidR="00304C65" w:rsidRPr="009620E9" w:rsidRDefault="00304C65" w:rsidP="00304C65">
      <w:pPr>
        <w:rPr>
          <w:highlight w:val="yellow"/>
        </w:rPr>
      </w:pPr>
      <w:r w:rsidRPr="009620E9">
        <w:rPr>
          <w:highlight w:val="yellow"/>
        </w:rPr>
        <w:t>(2) Where an audit of accounts has not been concluded before the date specified in paragraph (1) an authority must—</w:t>
      </w:r>
    </w:p>
    <w:p w:rsidR="00304C65" w:rsidRPr="009620E9" w:rsidRDefault="00304C65" w:rsidP="00304C65">
      <w:pPr>
        <w:rPr>
          <w:highlight w:val="yellow"/>
        </w:rPr>
      </w:pPr>
      <w:r w:rsidRPr="009620E9">
        <w:rPr>
          <w:highlight w:val="yellow"/>
        </w:rPr>
        <w:t>(a)publish (which must include publication on the authority’s website) as soon as reasonably practicable on or after that date a notice stating that it has not been able to publish the statement of accounts and its reasons for this; and</w:t>
      </w:r>
    </w:p>
    <w:p w:rsidR="00304C65" w:rsidRDefault="00304C65" w:rsidP="00304C65">
      <w:r w:rsidRPr="009620E9">
        <w:rPr>
          <w:highlight w:val="yellow"/>
        </w:rPr>
        <w:t xml:space="preserve">(b)comply with paragraph (1) as if for “but not later than 31st July </w:t>
      </w:r>
      <w:r w:rsidRPr="009620E9">
        <w:rPr>
          <w:b/>
          <w:bCs/>
          <w:highlight w:val="yellow"/>
        </w:rPr>
        <w:t>[for 2022/23 the relevant date is 30 September 2023]</w:t>
      </w:r>
      <w:r>
        <w:t xml:space="preserve"> </w:t>
      </w:r>
      <w:r w:rsidRPr="009620E9">
        <w:rPr>
          <w:highlight w:val="yellow"/>
        </w:rPr>
        <w:t>of the financial year immediately following the end of the financial year to which the statement relates” there were substituted “as soon as reasonably practicable after the receipt of any report from the auditor which contains the auditor’s final findings from the audit which is issued before the conclusion of the audit”.</w:t>
      </w:r>
    </w:p>
    <w:p w:rsidR="00304C65" w:rsidRDefault="00304C65" w:rsidP="00304C65">
      <w:r>
        <w:t>(3) Where documents are published under paragraph (1) an authority must—</w:t>
      </w:r>
    </w:p>
    <w:p w:rsidR="00304C65" w:rsidRDefault="00304C65" w:rsidP="00304C65">
      <w:r>
        <w:t>(a) keep copies of those documents for purchase by any person on payment of a reasonable sum; and</w:t>
      </w:r>
    </w:p>
    <w:p w:rsidR="00D81245" w:rsidRDefault="00304C65" w:rsidP="00D81245">
      <w:r>
        <w:t>(b) ensure that those documents remain available for public access for a period of not less than five years beginning with the date on which those documents were first published in accordance with that paragraph.”</w:t>
      </w:r>
    </w:p>
    <w:p w:rsidR="00304C65" w:rsidRPr="00D81245" w:rsidRDefault="006B3DD5" w:rsidP="00D81245">
      <w:r w:rsidRPr="006B3DD5">
        <w:rPr>
          <w:rFonts w:ascii="Arial" w:hAnsi="Arial" w:cs="Arial"/>
          <w:iCs/>
          <w:sz w:val="24"/>
          <w:szCs w:val="24"/>
        </w:rPr>
        <w:lastRenderedPageBreak/>
        <w:t>This notification explains, as per Regulation 10 (2) (a), that we are not yet able to publish our audited 202</w:t>
      </w:r>
      <w:r w:rsidR="00A077E0">
        <w:rPr>
          <w:rFonts w:ascii="Arial" w:hAnsi="Arial" w:cs="Arial"/>
          <w:iCs/>
          <w:sz w:val="24"/>
          <w:szCs w:val="24"/>
        </w:rPr>
        <w:t>2</w:t>
      </w:r>
      <w:r w:rsidRPr="006B3DD5">
        <w:rPr>
          <w:rFonts w:ascii="Arial" w:hAnsi="Arial" w:cs="Arial"/>
          <w:iCs/>
          <w:sz w:val="24"/>
          <w:szCs w:val="24"/>
        </w:rPr>
        <w:t>/2</w:t>
      </w:r>
      <w:r w:rsidR="00A077E0">
        <w:rPr>
          <w:rFonts w:ascii="Arial" w:hAnsi="Arial" w:cs="Arial"/>
          <w:iCs/>
          <w:sz w:val="24"/>
          <w:szCs w:val="24"/>
        </w:rPr>
        <w:t>3</w:t>
      </w:r>
      <w:r w:rsidRPr="006B3DD5">
        <w:rPr>
          <w:rFonts w:ascii="Arial" w:hAnsi="Arial" w:cs="Arial"/>
          <w:iCs/>
          <w:sz w:val="24"/>
          <w:szCs w:val="24"/>
        </w:rPr>
        <w:t xml:space="preserve"> Statement of Accounts in line with </w:t>
      </w:r>
      <w:r w:rsidR="00A077E0">
        <w:rPr>
          <w:rFonts w:ascii="Arial" w:hAnsi="Arial" w:cs="Arial"/>
          <w:iCs/>
          <w:sz w:val="24"/>
          <w:szCs w:val="24"/>
        </w:rPr>
        <w:t xml:space="preserve">amended </w:t>
      </w:r>
      <w:r w:rsidRPr="006B3DD5">
        <w:rPr>
          <w:rFonts w:ascii="Arial" w:hAnsi="Arial" w:cs="Arial"/>
          <w:iCs/>
          <w:sz w:val="24"/>
          <w:szCs w:val="24"/>
        </w:rPr>
        <w:t>publication date of 30 September 202</w:t>
      </w:r>
      <w:r w:rsidR="00A077E0">
        <w:rPr>
          <w:rFonts w:ascii="Arial" w:hAnsi="Arial" w:cs="Arial"/>
          <w:iCs/>
          <w:sz w:val="24"/>
          <w:szCs w:val="24"/>
        </w:rPr>
        <w:t>3</w:t>
      </w:r>
      <w:r w:rsidRPr="006B3DD5">
        <w:rPr>
          <w:rFonts w:ascii="Arial" w:hAnsi="Arial" w:cs="Arial"/>
          <w:iCs/>
          <w:sz w:val="24"/>
          <w:szCs w:val="24"/>
        </w:rPr>
        <w:t>,</w:t>
      </w:r>
      <w:r>
        <w:rPr>
          <w:rFonts w:ascii="Arial" w:hAnsi="Arial" w:cs="Arial"/>
          <w:iCs/>
          <w:sz w:val="24"/>
          <w:szCs w:val="24"/>
        </w:rPr>
        <w:t xml:space="preserve"> as per Regulation 10 (1).</w:t>
      </w:r>
      <w:r w:rsidR="00304C65">
        <w:rPr>
          <w:rFonts w:ascii="Arial" w:hAnsi="Arial" w:cs="Arial"/>
          <w:iCs/>
          <w:sz w:val="24"/>
          <w:szCs w:val="24"/>
        </w:rPr>
        <w:t xml:space="preserve"> </w:t>
      </w:r>
    </w:p>
    <w:p w:rsidR="00304C65" w:rsidRDefault="00304C65" w:rsidP="00D81245">
      <w:pPr>
        <w:pStyle w:val="xxmsonormal"/>
        <w:rPr>
          <w:rFonts w:ascii="Arial" w:hAnsi="Arial" w:cs="Arial"/>
          <w:iCs/>
          <w:sz w:val="24"/>
          <w:szCs w:val="24"/>
        </w:rPr>
      </w:pPr>
      <w:r>
        <w:rPr>
          <w:rFonts w:ascii="Arial" w:hAnsi="Arial" w:cs="Arial"/>
          <w:iCs/>
          <w:sz w:val="24"/>
          <w:szCs w:val="24"/>
        </w:rPr>
        <w:t xml:space="preserve">The auditors have a significant backlog of </w:t>
      </w:r>
      <w:r w:rsidR="00445065">
        <w:rPr>
          <w:rFonts w:ascii="Arial" w:hAnsi="Arial" w:cs="Arial"/>
          <w:iCs/>
          <w:sz w:val="24"/>
          <w:szCs w:val="24"/>
        </w:rPr>
        <w:t xml:space="preserve">audit </w:t>
      </w:r>
      <w:r>
        <w:rPr>
          <w:rFonts w:ascii="Arial" w:hAnsi="Arial" w:cs="Arial"/>
          <w:iCs/>
          <w:sz w:val="24"/>
          <w:szCs w:val="24"/>
        </w:rPr>
        <w:t xml:space="preserve">work to complete in respect of the previous year’s accounts which </w:t>
      </w:r>
      <w:r w:rsidR="00445065">
        <w:rPr>
          <w:rFonts w:ascii="Arial" w:hAnsi="Arial" w:cs="Arial"/>
          <w:iCs/>
          <w:sz w:val="24"/>
          <w:szCs w:val="24"/>
        </w:rPr>
        <w:t>is impacting on the timely delivery of the 2022/23 audit.</w:t>
      </w:r>
    </w:p>
    <w:p w:rsidR="00D81245" w:rsidRDefault="00D81245" w:rsidP="00D81245">
      <w:pPr>
        <w:pStyle w:val="xxmsonormal"/>
        <w:rPr>
          <w:rFonts w:ascii="Arial" w:hAnsi="Arial" w:cs="Arial"/>
          <w:iCs/>
          <w:sz w:val="24"/>
          <w:szCs w:val="24"/>
        </w:rPr>
      </w:pPr>
    </w:p>
    <w:p w:rsidR="006B3DD5" w:rsidRPr="006B3DD5" w:rsidRDefault="006B3DD5" w:rsidP="00D81245">
      <w:pPr>
        <w:pStyle w:val="xxmsonormal"/>
        <w:rPr>
          <w:rFonts w:ascii="Arial" w:hAnsi="Arial" w:cs="Arial"/>
          <w:sz w:val="24"/>
          <w:szCs w:val="24"/>
        </w:rPr>
      </w:pPr>
      <w:r>
        <w:rPr>
          <w:rFonts w:ascii="Arial" w:hAnsi="Arial" w:cs="Arial"/>
          <w:iCs/>
          <w:sz w:val="24"/>
          <w:szCs w:val="24"/>
        </w:rPr>
        <w:t xml:space="preserve">The </w:t>
      </w:r>
      <w:r w:rsidRPr="006B3DD5">
        <w:rPr>
          <w:rFonts w:ascii="Arial" w:hAnsi="Arial" w:cs="Arial"/>
          <w:iCs/>
          <w:sz w:val="24"/>
          <w:szCs w:val="24"/>
        </w:rPr>
        <w:t xml:space="preserve">Authority is continuing to work closely with the external auditor to ensure the required work is completed as soon as possible. In line with the Accounts and Audit Regulations 2015, </w:t>
      </w:r>
      <w:r>
        <w:rPr>
          <w:rFonts w:ascii="Arial" w:hAnsi="Arial" w:cs="Arial"/>
          <w:iCs/>
          <w:sz w:val="24"/>
          <w:szCs w:val="24"/>
        </w:rPr>
        <w:t>TWFRA</w:t>
      </w:r>
      <w:r w:rsidRPr="006B3DD5">
        <w:rPr>
          <w:rFonts w:ascii="Arial" w:hAnsi="Arial" w:cs="Arial"/>
          <w:iCs/>
          <w:sz w:val="24"/>
          <w:szCs w:val="24"/>
        </w:rPr>
        <w:t xml:space="preserve"> published a draft Statement of Accounts subject to audit on</w:t>
      </w:r>
      <w:r>
        <w:rPr>
          <w:rFonts w:ascii="Arial" w:hAnsi="Arial" w:cs="Arial"/>
          <w:iCs/>
          <w:sz w:val="24"/>
          <w:szCs w:val="24"/>
        </w:rPr>
        <w:t xml:space="preserve"> </w:t>
      </w:r>
      <w:r w:rsidR="00A077E0">
        <w:rPr>
          <w:rFonts w:ascii="Arial" w:hAnsi="Arial" w:cs="Arial"/>
          <w:iCs/>
          <w:sz w:val="24"/>
          <w:szCs w:val="24"/>
        </w:rPr>
        <w:t xml:space="preserve">30 </w:t>
      </w:r>
      <w:r w:rsidR="00266507">
        <w:rPr>
          <w:rFonts w:ascii="Arial" w:hAnsi="Arial" w:cs="Arial"/>
          <w:iCs/>
          <w:sz w:val="24"/>
          <w:szCs w:val="24"/>
        </w:rPr>
        <w:t>June</w:t>
      </w:r>
      <w:r w:rsidRPr="006B3DD5">
        <w:rPr>
          <w:rFonts w:ascii="Arial" w:hAnsi="Arial" w:cs="Arial"/>
          <w:iCs/>
          <w:sz w:val="24"/>
          <w:szCs w:val="24"/>
        </w:rPr>
        <w:t xml:space="preserve"> </w:t>
      </w:r>
      <w:r>
        <w:rPr>
          <w:rFonts w:ascii="Arial" w:hAnsi="Arial" w:cs="Arial"/>
          <w:iCs/>
          <w:sz w:val="24"/>
          <w:szCs w:val="24"/>
        </w:rPr>
        <w:t>202</w:t>
      </w:r>
      <w:r w:rsidR="00A077E0">
        <w:rPr>
          <w:rFonts w:ascii="Arial" w:hAnsi="Arial" w:cs="Arial"/>
          <w:iCs/>
          <w:sz w:val="24"/>
          <w:szCs w:val="24"/>
        </w:rPr>
        <w:t>3</w:t>
      </w:r>
      <w:r w:rsidRPr="006B3DD5">
        <w:rPr>
          <w:rFonts w:ascii="Arial" w:hAnsi="Arial" w:cs="Arial"/>
          <w:iCs/>
          <w:sz w:val="24"/>
          <w:szCs w:val="24"/>
        </w:rPr>
        <w:t xml:space="preserve"> </w:t>
      </w:r>
      <w:r w:rsidR="00266507">
        <w:rPr>
          <w:rFonts w:ascii="Arial" w:hAnsi="Arial" w:cs="Arial"/>
          <w:iCs/>
          <w:sz w:val="24"/>
          <w:szCs w:val="24"/>
        </w:rPr>
        <w:t xml:space="preserve">and the </w:t>
      </w:r>
      <w:r w:rsidRPr="006B3DD5">
        <w:rPr>
          <w:rFonts w:ascii="Arial" w:hAnsi="Arial" w:cs="Arial"/>
          <w:iCs/>
          <w:sz w:val="24"/>
          <w:szCs w:val="24"/>
        </w:rPr>
        <w:t>final audited Statement of Accounts for the year ended 31 March 202</w:t>
      </w:r>
      <w:r w:rsidR="00A077E0">
        <w:rPr>
          <w:rFonts w:ascii="Arial" w:hAnsi="Arial" w:cs="Arial"/>
          <w:iCs/>
          <w:sz w:val="24"/>
          <w:szCs w:val="24"/>
        </w:rPr>
        <w:t>3</w:t>
      </w:r>
      <w:r w:rsidRPr="006B3DD5">
        <w:rPr>
          <w:rFonts w:ascii="Arial" w:hAnsi="Arial" w:cs="Arial"/>
          <w:iCs/>
          <w:sz w:val="24"/>
          <w:szCs w:val="24"/>
        </w:rPr>
        <w:t xml:space="preserve"> will be published as soon as the audit is concluded, and the Independent Auditor’s Report issued. </w:t>
      </w:r>
    </w:p>
    <w:p w:rsidR="006B3DD5" w:rsidRPr="006B3DD5" w:rsidRDefault="006B3DD5" w:rsidP="006B3DD5">
      <w:pPr>
        <w:pStyle w:val="xxmsonormal"/>
        <w:ind w:left="720"/>
        <w:rPr>
          <w:rFonts w:ascii="Arial" w:hAnsi="Arial" w:cs="Arial"/>
          <w:sz w:val="24"/>
          <w:szCs w:val="24"/>
        </w:rPr>
      </w:pPr>
      <w:r w:rsidRPr="006B3DD5">
        <w:rPr>
          <w:rFonts w:ascii="Arial" w:hAnsi="Arial" w:cs="Arial"/>
          <w:iCs/>
          <w:sz w:val="24"/>
          <w:szCs w:val="24"/>
        </w:rPr>
        <w:t> </w:t>
      </w:r>
    </w:p>
    <w:p w:rsidR="006B3DD5" w:rsidRPr="006B3DD5" w:rsidRDefault="006B3DD5" w:rsidP="00D81245">
      <w:pPr>
        <w:pStyle w:val="xxmsonormal"/>
        <w:rPr>
          <w:rFonts w:ascii="Arial" w:hAnsi="Arial" w:cs="Arial"/>
          <w:sz w:val="24"/>
          <w:szCs w:val="24"/>
        </w:rPr>
      </w:pPr>
      <w:r>
        <w:rPr>
          <w:rFonts w:ascii="Arial" w:hAnsi="Arial" w:cs="Arial"/>
          <w:iCs/>
          <w:sz w:val="24"/>
          <w:szCs w:val="24"/>
        </w:rPr>
        <w:t>Dennis Napier</w:t>
      </w:r>
      <w:r w:rsidRPr="006B3DD5">
        <w:rPr>
          <w:rFonts w:ascii="Arial" w:hAnsi="Arial" w:cs="Arial"/>
          <w:iCs/>
          <w:sz w:val="24"/>
          <w:szCs w:val="24"/>
        </w:rPr>
        <w:br/>
      </w:r>
      <w:r>
        <w:rPr>
          <w:rFonts w:ascii="Arial" w:hAnsi="Arial" w:cs="Arial"/>
          <w:iCs/>
          <w:sz w:val="24"/>
          <w:szCs w:val="24"/>
        </w:rPr>
        <w:t>Finance Director</w:t>
      </w:r>
    </w:p>
    <w:p w:rsidR="006B3DD5" w:rsidRDefault="006B3DD5" w:rsidP="00D81245">
      <w:pPr>
        <w:pStyle w:val="xxmsonormal"/>
        <w:rPr>
          <w:rFonts w:ascii="Arial" w:hAnsi="Arial" w:cs="Arial"/>
          <w:iCs/>
          <w:sz w:val="24"/>
          <w:szCs w:val="24"/>
        </w:rPr>
      </w:pPr>
      <w:r>
        <w:rPr>
          <w:rFonts w:ascii="Arial" w:hAnsi="Arial" w:cs="Arial"/>
          <w:iCs/>
          <w:sz w:val="24"/>
          <w:szCs w:val="24"/>
        </w:rPr>
        <w:t>Service Headquarters</w:t>
      </w:r>
    </w:p>
    <w:p w:rsidR="006B3DD5" w:rsidRDefault="006B3DD5" w:rsidP="00D81245">
      <w:pPr>
        <w:pStyle w:val="xxmsonormal"/>
        <w:rPr>
          <w:rFonts w:ascii="Arial" w:hAnsi="Arial" w:cs="Arial"/>
          <w:iCs/>
          <w:sz w:val="24"/>
          <w:szCs w:val="24"/>
        </w:rPr>
      </w:pPr>
      <w:r>
        <w:rPr>
          <w:rFonts w:ascii="Arial" w:hAnsi="Arial" w:cs="Arial"/>
          <w:iCs/>
          <w:sz w:val="24"/>
          <w:szCs w:val="24"/>
        </w:rPr>
        <w:t>Nissan Way</w:t>
      </w:r>
      <w:bookmarkStart w:id="0" w:name="_GoBack"/>
      <w:bookmarkEnd w:id="0"/>
    </w:p>
    <w:p w:rsidR="006B3DD5" w:rsidRDefault="006B3DD5" w:rsidP="00D81245">
      <w:pPr>
        <w:pStyle w:val="xxmsonormal"/>
        <w:rPr>
          <w:rFonts w:ascii="Arial" w:hAnsi="Arial" w:cs="Arial"/>
          <w:iCs/>
          <w:sz w:val="24"/>
          <w:szCs w:val="24"/>
        </w:rPr>
      </w:pPr>
      <w:r>
        <w:rPr>
          <w:rFonts w:ascii="Arial" w:hAnsi="Arial" w:cs="Arial"/>
          <w:iCs/>
          <w:sz w:val="24"/>
          <w:szCs w:val="24"/>
        </w:rPr>
        <w:t>Barmston Mere</w:t>
      </w:r>
    </w:p>
    <w:p w:rsidR="006B3DD5" w:rsidRDefault="006B3DD5" w:rsidP="00D81245">
      <w:pPr>
        <w:pStyle w:val="xxmsonormal"/>
        <w:rPr>
          <w:rFonts w:ascii="Arial" w:hAnsi="Arial" w:cs="Arial"/>
          <w:iCs/>
          <w:sz w:val="24"/>
          <w:szCs w:val="24"/>
        </w:rPr>
      </w:pPr>
      <w:r>
        <w:rPr>
          <w:rFonts w:ascii="Arial" w:hAnsi="Arial" w:cs="Arial"/>
          <w:iCs/>
          <w:sz w:val="24"/>
          <w:szCs w:val="24"/>
        </w:rPr>
        <w:t>Washington</w:t>
      </w:r>
    </w:p>
    <w:p w:rsidR="006B3DD5" w:rsidRDefault="006B3DD5" w:rsidP="00D81245">
      <w:pPr>
        <w:pStyle w:val="xxmsonormal"/>
        <w:rPr>
          <w:rFonts w:ascii="Arial" w:hAnsi="Arial" w:cs="Arial"/>
          <w:iCs/>
          <w:sz w:val="24"/>
          <w:szCs w:val="24"/>
        </w:rPr>
      </w:pPr>
      <w:r>
        <w:rPr>
          <w:rFonts w:ascii="Arial" w:hAnsi="Arial" w:cs="Arial"/>
          <w:iCs/>
          <w:sz w:val="24"/>
          <w:szCs w:val="24"/>
        </w:rPr>
        <w:t>Sunderland</w:t>
      </w:r>
    </w:p>
    <w:p w:rsidR="006B3DD5" w:rsidRDefault="006B3DD5" w:rsidP="00D81245">
      <w:pPr>
        <w:pStyle w:val="xxmsonormal"/>
        <w:rPr>
          <w:rFonts w:ascii="Arial" w:hAnsi="Arial" w:cs="Arial"/>
          <w:iCs/>
          <w:sz w:val="24"/>
          <w:szCs w:val="24"/>
        </w:rPr>
      </w:pPr>
      <w:r>
        <w:rPr>
          <w:rFonts w:ascii="Arial" w:hAnsi="Arial" w:cs="Arial"/>
          <w:iCs/>
          <w:sz w:val="24"/>
          <w:szCs w:val="24"/>
        </w:rPr>
        <w:t>Tyne and Wear</w:t>
      </w:r>
    </w:p>
    <w:p w:rsidR="006B3DD5" w:rsidRPr="006B3DD5" w:rsidRDefault="006B3DD5" w:rsidP="00D81245">
      <w:pPr>
        <w:pStyle w:val="xxmsonormal"/>
        <w:rPr>
          <w:rFonts w:ascii="Arial" w:hAnsi="Arial" w:cs="Arial"/>
          <w:sz w:val="24"/>
          <w:szCs w:val="24"/>
        </w:rPr>
      </w:pPr>
      <w:r>
        <w:rPr>
          <w:rFonts w:ascii="Arial" w:hAnsi="Arial" w:cs="Arial"/>
          <w:iCs/>
          <w:sz w:val="24"/>
          <w:szCs w:val="24"/>
        </w:rPr>
        <w:t>SR5 3QY</w:t>
      </w:r>
    </w:p>
    <w:p w:rsidR="006B3DD5" w:rsidRPr="006B3DD5" w:rsidRDefault="006B3DD5" w:rsidP="006B3DD5">
      <w:pPr>
        <w:pStyle w:val="xxmsonormal"/>
        <w:ind w:left="720"/>
        <w:rPr>
          <w:rFonts w:ascii="Arial" w:hAnsi="Arial" w:cs="Arial"/>
          <w:sz w:val="24"/>
          <w:szCs w:val="24"/>
        </w:rPr>
      </w:pPr>
      <w:r w:rsidRPr="006B3DD5">
        <w:rPr>
          <w:rFonts w:ascii="Arial" w:hAnsi="Arial" w:cs="Arial"/>
          <w:iCs/>
          <w:sz w:val="24"/>
          <w:szCs w:val="24"/>
        </w:rPr>
        <w:t> </w:t>
      </w:r>
    </w:p>
    <w:p w:rsidR="006B3DD5" w:rsidRPr="006B3DD5" w:rsidRDefault="00E3377B" w:rsidP="00D81245">
      <w:pPr>
        <w:pStyle w:val="xxmsonormal"/>
        <w:rPr>
          <w:rFonts w:ascii="Arial" w:hAnsi="Arial" w:cs="Arial"/>
          <w:sz w:val="24"/>
          <w:szCs w:val="24"/>
        </w:rPr>
      </w:pPr>
      <w:r>
        <w:rPr>
          <w:rFonts w:ascii="Arial" w:hAnsi="Arial" w:cs="Arial"/>
          <w:iCs/>
          <w:sz w:val="24"/>
          <w:szCs w:val="24"/>
        </w:rPr>
        <w:t xml:space="preserve">Date: </w:t>
      </w:r>
      <w:r w:rsidR="00A077E0">
        <w:rPr>
          <w:rFonts w:ascii="Arial" w:hAnsi="Arial" w:cs="Arial"/>
          <w:iCs/>
          <w:sz w:val="24"/>
          <w:szCs w:val="24"/>
        </w:rPr>
        <w:t>29</w:t>
      </w:r>
      <w:r>
        <w:rPr>
          <w:rFonts w:ascii="Arial" w:hAnsi="Arial" w:cs="Arial"/>
          <w:iCs/>
          <w:sz w:val="24"/>
          <w:szCs w:val="24"/>
        </w:rPr>
        <w:t xml:space="preserve"> September 202</w:t>
      </w:r>
      <w:r w:rsidR="00A077E0">
        <w:rPr>
          <w:rFonts w:ascii="Arial" w:hAnsi="Arial" w:cs="Arial"/>
          <w:iCs/>
          <w:sz w:val="24"/>
          <w:szCs w:val="24"/>
        </w:rPr>
        <w:t>3</w:t>
      </w:r>
    </w:p>
    <w:p w:rsidR="000C78A2" w:rsidRPr="006B3DD5" w:rsidRDefault="000C78A2" w:rsidP="000C78A2">
      <w:pPr>
        <w:spacing w:after="0" w:line="240" w:lineRule="auto"/>
        <w:rPr>
          <w:rFonts w:ascii="Arial" w:hAnsi="Arial" w:cs="Arial"/>
          <w:sz w:val="24"/>
          <w:szCs w:val="24"/>
        </w:rPr>
      </w:pPr>
    </w:p>
    <w:sectPr w:rsidR="000C78A2" w:rsidRPr="006B3D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98F" w:rsidRDefault="0003698F" w:rsidP="00F94FAA">
      <w:pPr>
        <w:spacing w:after="0" w:line="240" w:lineRule="auto"/>
      </w:pPr>
      <w:r>
        <w:separator/>
      </w:r>
    </w:p>
  </w:endnote>
  <w:endnote w:type="continuationSeparator" w:id="0">
    <w:p w:rsidR="0003698F" w:rsidRDefault="0003698F" w:rsidP="00F94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98F" w:rsidRDefault="0003698F" w:rsidP="00F94FAA">
      <w:pPr>
        <w:spacing w:after="0" w:line="240" w:lineRule="auto"/>
      </w:pPr>
      <w:r>
        <w:separator/>
      </w:r>
    </w:p>
  </w:footnote>
  <w:footnote w:type="continuationSeparator" w:id="0">
    <w:p w:rsidR="0003698F" w:rsidRDefault="0003698F" w:rsidP="00F94F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D5"/>
    <w:rsid w:val="0003698F"/>
    <w:rsid w:val="000C78A2"/>
    <w:rsid w:val="00266507"/>
    <w:rsid w:val="00304C65"/>
    <w:rsid w:val="00445065"/>
    <w:rsid w:val="00513775"/>
    <w:rsid w:val="006B3DD5"/>
    <w:rsid w:val="00922D70"/>
    <w:rsid w:val="00A077E0"/>
    <w:rsid w:val="00CA14FF"/>
    <w:rsid w:val="00D81245"/>
    <w:rsid w:val="00E3377B"/>
    <w:rsid w:val="00F94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ACE13"/>
  <w15:chartTrackingRefBased/>
  <w15:docId w15:val="{47F1E8C8-C8BA-4E07-85E8-0EA42457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DD5"/>
    <w:rPr>
      <w:color w:val="0563C1"/>
      <w:u w:val="single"/>
    </w:rPr>
  </w:style>
  <w:style w:type="paragraph" w:customStyle="1" w:styleId="xxmsonormal">
    <w:name w:val="x_xmsonormal"/>
    <w:basedOn w:val="Normal"/>
    <w:rsid w:val="006B3DD5"/>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6B3D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03470">
      <w:bodyDiv w:val="1"/>
      <w:marLeft w:val="0"/>
      <w:marRight w:val="0"/>
      <w:marTop w:val="0"/>
      <w:marBottom w:val="0"/>
      <w:divBdr>
        <w:top w:val="none" w:sz="0" w:space="0" w:color="auto"/>
        <w:left w:val="none" w:sz="0" w:space="0" w:color="auto"/>
        <w:bottom w:val="none" w:sz="0" w:space="0" w:color="auto"/>
        <w:right w:val="none" w:sz="0" w:space="0" w:color="auto"/>
      </w:divBdr>
    </w:div>
    <w:div w:id="21406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br01.safelinks.protection.outlook.com/?url=https%3A%2F%2Fwww.legislation.gov.uk%2Fuksi%2F2015%2F234%2Fregulation%2F10&amp;data=04%7C01%7Ccatherine.mccormick%40twfire.gov.uk%7Cab8462dede2348cd139e08d983792fbe%7C93b680ec402346e49bcbbc668d2b11d7%7C0%7C0%7C637685378775695309%7CUnknown%7CTWFpbGZsb3d8eyJWIjoiMC4wLjAwMDAiLCJQIjoiV2luMzIiLCJBTiI6Ik1haWwiLCJXVCI6Mn0%3D%7C1000&amp;sdata=hWG0aSb2FbCnkrVoh09DKQLNmvbxFY5E4pLstg53buw%3D&amp;reserve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McCormick</dc:creator>
  <cp:keywords/>
  <dc:description/>
  <cp:lastModifiedBy>Catherine Spoors</cp:lastModifiedBy>
  <cp:revision>13</cp:revision>
  <dcterms:created xsi:type="dcterms:W3CDTF">2023-09-29T08:16:00Z</dcterms:created>
  <dcterms:modified xsi:type="dcterms:W3CDTF">2023-09-29T11:35:00Z</dcterms:modified>
</cp:coreProperties>
</file>